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1" w:name="_GoBack"/>
      <w:bookmarkEnd w:id="1"/>
      <w:bookmarkStart w:id="0" w:name="_Toc490725690"/>
      <w:r>
        <w:rPr>
          <w:rFonts w:hint="eastAsia" w:ascii="黑体" w:hAnsi="黑体" w:eastAsia="黑体" w:cs="黑体"/>
          <w:sz w:val="32"/>
          <w:szCs w:val="32"/>
        </w:rPr>
        <w:t>附件</w:t>
      </w:r>
      <w:r>
        <w:rPr>
          <w:rFonts w:hint="eastAsia" w:ascii="黑体" w:hAnsi="黑体" w:eastAsia="黑体" w:cs="黑体"/>
          <w:sz w:val="32"/>
          <w:szCs w:val="32"/>
          <w:lang w:val="en-US" w:eastAsia="zh-CN"/>
        </w:rPr>
        <w:t>2            省机关事务管理局总表</w:t>
      </w:r>
    </w:p>
    <w:p>
      <w:pPr>
        <w:jc w:val="center"/>
        <w:rPr>
          <w:rFonts w:hint="eastAsia" w:ascii="仿宋_GB2312" w:hAnsi="宋体" w:eastAsia="仿宋_GB2312" w:cs="宋体"/>
          <w:color w:val="000000"/>
          <w:kern w:val="0"/>
          <w:sz w:val="32"/>
          <w:szCs w:val="32"/>
        </w:rPr>
      </w:pPr>
      <w:r>
        <w:rPr>
          <w:rFonts w:hint="eastAsia" w:ascii="方正小标宋简体" w:hAnsi="方正小标宋简体" w:eastAsia="方正小标宋简体" w:cs="方正小标宋简体"/>
          <w:b w:val="0"/>
          <w:bCs w:val="0"/>
          <w:kern w:val="0"/>
          <w:sz w:val="40"/>
          <w:szCs w:val="40"/>
        </w:rPr>
        <w:t>201</w:t>
      </w:r>
      <w:r>
        <w:rPr>
          <w:rFonts w:hint="eastAsia" w:ascii="方正小标宋简体" w:hAnsi="方正小标宋简体" w:eastAsia="方正小标宋简体" w:cs="方正小标宋简体"/>
          <w:b w:val="0"/>
          <w:bCs w:val="0"/>
          <w:kern w:val="0"/>
          <w:sz w:val="40"/>
          <w:szCs w:val="40"/>
          <w:lang w:val="en-US" w:eastAsia="zh-CN"/>
        </w:rPr>
        <w:t>9</w:t>
      </w:r>
      <w:r>
        <w:rPr>
          <w:rFonts w:hint="eastAsia" w:ascii="方正小标宋简体" w:hAnsi="方正小标宋简体" w:eastAsia="方正小标宋简体" w:cs="方正小标宋简体"/>
          <w:b w:val="0"/>
          <w:bCs w:val="0"/>
          <w:kern w:val="0"/>
          <w:sz w:val="40"/>
          <w:szCs w:val="40"/>
        </w:rPr>
        <w:t>年度省直</w:t>
      </w:r>
      <w:r>
        <w:rPr>
          <w:rFonts w:hint="eastAsia" w:ascii="方正小标宋简体" w:hAnsi="方正小标宋简体" w:eastAsia="方正小标宋简体" w:cs="方正小标宋简体"/>
          <w:b w:val="0"/>
          <w:bCs w:val="0"/>
          <w:kern w:val="0"/>
          <w:sz w:val="40"/>
          <w:szCs w:val="40"/>
          <w:lang w:eastAsia="zh-CN"/>
        </w:rPr>
        <w:t>党政</w:t>
      </w:r>
      <w:r>
        <w:rPr>
          <w:rFonts w:hint="eastAsia" w:ascii="方正小标宋简体" w:hAnsi="方正小标宋简体" w:eastAsia="方正小标宋简体" w:cs="方正小标宋简体"/>
          <w:b w:val="0"/>
          <w:bCs w:val="0"/>
          <w:kern w:val="0"/>
          <w:sz w:val="40"/>
          <w:szCs w:val="40"/>
        </w:rPr>
        <w:t>机关</w:t>
      </w:r>
      <w:r>
        <w:rPr>
          <w:rFonts w:hint="eastAsia" w:ascii="方正小标宋简体" w:hAnsi="方正小标宋简体" w:eastAsia="方正小标宋简体" w:cs="方正小标宋简体"/>
          <w:b w:val="0"/>
          <w:bCs w:val="0"/>
          <w:kern w:val="0"/>
          <w:sz w:val="40"/>
          <w:szCs w:val="40"/>
          <w:lang w:eastAsia="zh-CN"/>
        </w:rPr>
        <w:t>办公</w:t>
      </w:r>
      <w:r>
        <w:rPr>
          <w:rFonts w:hint="eastAsia" w:ascii="方正小标宋简体" w:hAnsi="方正小标宋简体" w:eastAsia="方正小标宋简体" w:cs="方正小标宋简体"/>
          <w:b w:val="0"/>
          <w:bCs w:val="0"/>
          <w:kern w:val="0"/>
          <w:sz w:val="40"/>
          <w:szCs w:val="40"/>
        </w:rPr>
        <w:t>用房维修专项资金绩效</w:t>
      </w:r>
      <w:r>
        <w:rPr>
          <w:rFonts w:hint="eastAsia" w:ascii="方正小标宋简体" w:hAnsi="方正小标宋简体" w:eastAsia="方正小标宋简体" w:cs="方正小标宋简体"/>
          <w:b w:val="0"/>
          <w:bCs w:val="0"/>
          <w:kern w:val="0"/>
          <w:sz w:val="40"/>
          <w:szCs w:val="40"/>
          <w:lang w:eastAsia="zh-CN"/>
        </w:rPr>
        <w:t>自</w:t>
      </w:r>
      <w:r>
        <w:rPr>
          <w:rFonts w:hint="eastAsia" w:ascii="方正小标宋简体" w:hAnsi="方正小标宋简体" w:eastAsia="方正小标宋简体" w:cs="方正小标宋简体"/>
          <w:b w:val="0"/>
          <w:bCs w:val="0"/>
          <w:kern w:val="0"/>
          <w:sz w:val="40"/>
          <w:szCs w:val="40"/>
        </w:rPr>
        <w:t>评</w:t>
      </w:r>
      <w:r>
        <w:rPr>
          <w:rFonts w:hint="eastAsia" w:ascii="方正小标宋简体" w:hAnsi="方正小标宋简体" w:eastAsia="方正小标宋简体" w:cs="方正小标宋简体"/>
          <w:b w:val="0"/>
          <w:bCs w:val="0"/>
          <w:kern w:val="0"/>
          <w:sz w:val="40"/>
          <w:szCs w:val="40"/>
          <w:lang w:eastAsia="zh-CN"/>
        </w:rPr>
        <w:t>评分</w:t>
      </w:r>
      <w:r>
        <w:rPr>
          <w:rFonts w:hint="eastAsia" w:ascii="方正小标宋简体" w:hAnsi="方正小标宋简体" w:eastAsia="方正小标宋简体" w:cs="方正小标宋简体"/>
          <w:b w:val="0"/>
          <w:bCs w:val="0"/>
          <w:kern w:val="0"/>
          <w:sz w:val="40"/>
          <w:szCs w:val="40"/>
        </w:rPr>
        <w:t>表</w:t>
      </w:r>
      <w:r>
        <w:rPr>
          <w:rFonts w:hint="eastAsia" w:ascii="方正小标宋简体" w:hAnsi="方正小标宋简体" w:eastAsia="方正小标宋简体" w:cs="方正小标宋简体"/>
          <w:b w:val="0"/>
          <w:bCs w:val="0"/>
          <w:kern w:val="0"/>
          <w:sz w:val="40"/>
          <w:szCs w:val="40"/>
          <w:lang w:val="en-US" w:eastAsia="zh-CN"/>
        </w:rPr>
        <w:t>(评价指标表）</w:t>
      </w:r>
      <w:bookmarkEnd w:id="0"/>
    </w:p>
    <w:tbl>
      <w:tblPr>
        <w:tblStyle w:val="5"/>
        <w:tblW w:w="1421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7"/>
        <w:gridCol w:w="1134"/>
        <w:gridCol w:w="1277"/>
        <w:gridCol w:w="2554"/>
        <w:gridCol w:w="708"/>
        <w:gridCol w:w="6663"/>
        <w:gridCol w:w="7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5" w:hRule="atLeast"/>
          <w:tblHeader/>
        </w:trPr>
        <w:tc>
          <w:tcPr>
            <w:tcW w:w="1097" w:type="dxa"/>
            <w:shd w:val="clear" w:color="auto" w:fill="auto"/>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一级</w:t>
            </w:r>
          </w:p>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指标</w:t>
            </w:r>
          </w:p>
        </w:tc>
        <w:tc>
          <w:tcPr>
            <w:tcW w:w="1134" w:type="dxa"/>
            <w:shd w:val="clear" w:color="auto" w:fill="auto"/>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二级</w:t>
            </w:r>
          </w:p>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指标</w:t>
            </w:r>
          </w:p>
        </w:tc>
        <w:tc>
          <w:tcPr>
            <w:tcW w:w="1277" w:type="dxa"/>
            <w:shd w:val="clear" w:color="auto" w:fill="auto"/>
            <w:vAlign w:val="center"/>
          </w:tcPr>
          <w:p>
            <w:pPr>
              <w:widowControl/>
              <w:jc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三级</w:t>
            </w:r>
          </w:p>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指标</w:t>
            </w:r>
          </w:p>
        </w:tc>
        <w:tc>
          <w:tcPr>
            <w:tcW w:w="2554"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指标解释</w:t>
            </w:r>
          </w:p>
        </w:tc>
        <w:tc>
          <w:tcPr>
            <w:tcW w:w="708"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分值</w:t>
            </w:r>
          </w:p>
        </w:tc>
        <w:tc>
          <w:tcPr>
            <w:tcW w:w="6663"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指标说明</w:t>
            </w:r>
          </w:p>
        </w:tc>
        <w:tc>
          <w:tcPr>
            <w:tcW w:w="785" w:type="dxa"/>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552" w:hRule="atLeast"/>
        </w:trPr>
        <w:tc>
          <w:tcPr>
            <w:tcW w:w="1097"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投入</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（23分）</w:t>
            </w:r>
          </w:p>
        </w:tc>
        <w:tc>
          <w:tcPr>
            <w:tcW w:w="1134"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立项</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（17分）</w:t>
            </w:r>
          </w:p>
        </w:tc>
        <w:tc>
          <w:tcPr>
            <w:tcW w:w="1277"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项目立项</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规范性</w:t>
            </w:r>
          </w:p>
        </w:tc>
        <w:tc>
          <w:tcPr>
            <w:tcW w:w="2554" w:type="dxa"/>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项目所设定的绩效目标是否依椐充分，是否符合客观实际，用以反映和考核项目绩效目标与项目实施的相符情况。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9</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①申报项目是否达到申请维修的条件和标准、属于维修范围之内；（</w:t>
            </w:r>
            <w:r>
              <w:rPr>
                <w:rFonts w:ascii="仿宋_GB2312" w:hAnsi="宋体" w:eastAsia="仿宋_GB2312" w:cs="宋体"/>
                <w:color w:val="000000"/>
                <w:kern w:val="0"/>
                <w:sz w:val="24"/>
              </w:rPr>
              <w:t>1</w:t>
            </w:r>
            <w:r>
              <w:rPr>
                <w:rFonts w:hint="eastAsia" w:ascii="仿宋_GB2312" w:hAnsi="宋体" w:eastAsia="仿宋_GB2312" w:cs="宋体"/>
                <w:color w:val="000000"/>
                <w:kern w:val="0"/>
                <w:sz w:val="24"/>
              </w:rPr>
              <w:t>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②项目申报所提交的文件、材料是否齐全，是否进行了初步概算，设置了明确、细化、合理可行的绩效目标；（2分）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③建立项目管理系统，信息化管理；（1分）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④项目计划是否已经过必要的实地查勘、可行性研究、专家论证、风险评估、集体决策等；（2分）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⑤项目计划资金分配是否合理；（2分）</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⑥项目申报审批程序是否符合相关要求，批复文件明确完整。（1分）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42"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绩效目标</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合理性</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项目所设定的绩效目标是否依椐充分，是否符合客观实际，用以反映和考核项目绩效目标与项目实施的相符情况。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①是否符合国家相关法律法规，国民经济发展规划和党委政府决策；（1分）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②是否与项目实施单位职责密切相关；（1分）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③项目是否为促进事业发展所必需；（1分）</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④项目顸期效果是否符合相关政策的统一标准。（1分）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52"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绩效指标</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明确性</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依椐绩效目标设定的绩效指标是否清晰、细化、可衡量等，用以反映和考核项目绩效目标的明细化情况。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①是否将项目绩效目标细化分解为具体的绩效指标；（1分）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②是否通过清晰、可衡量的指标值予以体现；（1分）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③是否与项目年度任务或计划数相对应；（1分）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④是否与预期确定的项目投资额或资金量相匹配。（1分）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90" w:hRule="atLeast"/>
        </w:trPr>
        <w:tc>
          <w:tcPr>
            <w:tcW w:w="1097"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投入</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（23分）</w:t>
            </w:r>
          </w:p>
        </w:tc>
        <w:tc>
          <w:tcPr>
            <w:tcW w:w="1134"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资金</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落实</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（6分）</w:t>
            </w: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资金</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到位率</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实际到位资金与计划投入资金的比率，用以反映和考核资金落实情况对项目实施的总体保障程度。</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资金到位率=（实际到位资金/计划投入资金）×100%。</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实际到位资金：一定时期（本年度或项目期）内实际落实到具体项目的资金。</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计划投入资金：一定时期（本年度或项目期）内计划投入到具体项目的资金。</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600" w:hRule="atLeast"/>
        </w:trPr>
        <w:tc>
          <w:tcPr>
            <w:tcW w:w="1097"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到位</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及时率</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及时到位资金与应到位资金的比率，用以反映和考核项目资金落实的及时性程度。</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到位及时率＝（及时到位资金/应到位资金）×100%。</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及时到位资金：截至规定时点实际落实到具体项目的资金。</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应到位资金：按照合同或项目进度要求截至规定时点应落实到具体项目的资金。</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60" w:hRule="atLeast"/>
        </w:trPr>
        <w:tc>
          <w:tcPr>
            <w:tcW w:w="1097"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过程</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（35分）</w:t>
            </w:r>
          </w:p>
        </w:tc>
        <w:tc>
          <w:tcPr>
            <w:tcW w:w="1134"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业务</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管理</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（22分）</w:t>
            </w:r>
          </w:p>
        </w:tc>
        <w:tc>
          <w:tcPr>
            <w:tcW w:w="1277"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管理制度</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健全性</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项目实施单位的业务管理制度是否健全，用以反映和考核业务管理制度对项目顺利实施的保障情况。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eastAsia="仿宋_GB2312"/>
                <w:color w:val="000000"/>
                <w:kern w:val="0"/>
                <w:sz w:val="24"/>
              </w:rPr>
            </w:pPr>
            <w:r>
              <w:rPr>
                <w:rFonts w:hint="eastAsia" w:ascii="仿宋_GB2312" w:hAnsi="宋体" w:eastAsia="仿宋_GB2312" w:cs="宋体"/>
                <w:color w:val="000000"/>
                <w:kern w:val="0"/>
                <w:sz w:val="24"/>
              </w:rPr>
              <w:t>①是否已制定或具有相应的业务管理制度；（</w:t>
            </w:r>
            <w:r>
              <w:rPr>
                <w:rFonts w:eastAsia="仿宋_GB2312"/>
                <w:color w:val="000000"/>
                <w:kern w:val="0"/>
                <w:sz w:val="24"/>
              </w:rPr>
              <w:t>2</w:t>
            </w:r>
            <w:r>
              <w:rPr>
                <w:rFonts w:hint="eastAsia" w:ascii="仿宋_GB2312" w:hAnsi="宋体" w:eastAsia="仿宋_GB2312" w:cs="宋体"/>
                <w:color w:val="000000"/>
                <w:kern w:val="0"/>
                <w:sz w:val="24"/>
              </w:rPr>
              <w:t>分）</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②业务管理制度是否合法、合规、完整。（2分）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84"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制度执行</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有效性</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项目实施是否符合相关业务管理规定，用以反映和考核业务管理制度的有效执行情况。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4</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①是否遵守相关法律法规和业务管理规定；（2分）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②项目实施是否按项目计划执行；（1分）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③项目调整及支出调整手续是否完备并及时归档；（1分）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④政府采购是否符合相关规定；（2分）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⑤项目工程量清单及预算编制、改造前检测鉴定、设计、政府采购、施工合同书、竣工验收、财评评审等资料是否齐全完整并及时归档；（5分）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⑥项目实施是否制定了合理的责任分工、人员条件是否落实到位。（1分）</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⑦项目是否制定了相应的工程安全生产管理制度并落实到位及时归档。（2分）</w:t>
            </w:r>
          </w:p>
        </w:tc>
        <w:tc>
          <w:tcPr>
            <w:tcW w:w="785" w:type="dxa"/>
            <w:shd w:val="clear" w:color="auto" w:fill="auto"/>
            <w:vAlign w:val="center"/>
          </w:tcPr>
          <w:p>
            <w:pPr>
              <w:widowControl/>
              <w:jc w:val="both"/>
              <w:rPr>
                <w:rFonts w:hint="eastAsia" w:eastAsia="仿宋_GB2312"/>
                <w:color w:val="000000"/>
                <w:kern w:val="0"/>
                <w:sz w:val="24"/>
                <w:lang w:val="en-US" w:eastAsia="zh-CN"/>
              </w:rPr>
            </w:pPr>
            <w:r>
              <w:rPr>
                <w:rFonts w:hint="eastAsia" w:eastAsia="仿宋_GB2312"/>
                <w:color w:val="000000"/>
                <w:kern w:val="0"/>
                <w:sz w:val="24"/>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862" w:hRule="atLeast"/>
        </w:trPr>
        <w:tc>
          <w:tcPr>
            <w:tcW w:w="1097"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过程</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（33分）</w:t>
            </w:r>
          </w:p>
        </w:tc>
        <w:tc>
          <w:tcPr>
            <w:tcW w:w="1134"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业务</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管理</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（20分）</w:t>
            </w:r>
          </w:p>
        </w:tc>
        <w:tc>
          <w:tcPr>
            <w:tcW w:w="1277"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项目质量</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可控性</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项目实施单位是否为达到项目质量要求而采取了必需的措施，用以反映和考核项目实施单位对项目质量的控制情况。</w:t>
            </w:r>
          </w:p>
        </w:tc>
        <w:tc>
          <w:tcPr>
            <w:tcW w:w="708" w:type="dxa"/>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①是否制定了相应的项目施工质量要求或标准；（1分）</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②是否采取了相应的项目质量检查、监理、验收等必需的控制措施或手段。（3分）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76" w:hRule="atLeast"/>
        </w:trPr>
        <w:tc>
          <w:tcPr>
            <w:tcW w:w="1097"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1134"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财务</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管理</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（13分）</w:t>
            </w:r>
          </w:p>
        </w:tc>
        <w:tc>
          <w:tcPr>
            <w:tcW w:w="1277"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管理制度</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健全性</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项目实施单位的财务制度是否健全，用以反映和考核财务管理制度对资金规范安全运行的保障情况。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①是否已制定或具有相应的项目资金管理办法；（2分）</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②项目资金管理办法是否符合相关财务会计制度的规定。（2分）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84"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资金使用</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合规性</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项目资金使用是否符合相关的财务管理制度规定，用以反映和考核项目资金的规范运行情况。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5</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评价要点：                                                                                                                                                                                                                                                                                                                                                                                                                                                                                                                                                                                                                                                                </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①是否符合国家财经法规和财务管理以及有关专项资金管理办法的规定；（1分）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②资金的拨付是否有完整的审批程序和手续；（1分）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③项目的重大开支是否经过财评中心评审；（1分）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④是否符合专项资金计划请示的批复或合同规定的用途；（1分）</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⑤是否存在截留、挤占、挪用、虚列支出等情况。（1分）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184"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财务监控</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有效性</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项目实施单位是否为保障资金的安全、规范运行而采取了必要的监控措施，用以反映和考核项目实施单位对资金运行的控制情况。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①是否已制定或具有相应的监控机制；（</w:t>
            </w:r>
            <w:r>
              <w:rPr>
                <w:rFonts w:hint="eastAsia" w:ascii="仿宋_GB2312" w:hAnsi="宋体" w:eastAsia="仿宋_GB2312" w:cs="宋体"/>
                <w:color w:val="000000"/>
                <w:kern w:val="0"/>
                <w:sz w:val="24"/>
                <w:lang w:val="en-US" w:eastAsia="zh-CN"/>
              </w:rPr>
              <w:t>1</w:t>
            </w:r>
            <w:r>
              <w:rPr>
                <w:rFonts w:hint="eastAsia" w:ascii="仿宋_GB2312" w:hAnsi="宋体" w:eastAsia="仿宋_GB2312" w:cs="宋体"/>
                <w:color w:val="000000"/>
                <w:kern w:val="0"/>
                <w:sz w:val="24"/>
              </w:rPr>
              <w:t>分）</w:t>
            </w:r>
          </w:p>
          <w:p>
            <w:pP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②是否采取了相应的财务检查等必要的监控措施或手段。（</w:t>
            </w:r>
            <w:r>
              <w:rPr>
                <w:rFonts w:hint="eastAsia" w:ascii="仿宋_GB2312" w:hAnsi="宋体" w:eastAsia="仿宋_GB2312" w:cs="宋体"/>
                <w:color w:val="000000"/>
                <w:kern w:val="0"/>
                <w:sz w:val="24"/>
                <w:lang w:val="en-US" w:eastAsia="zh-CN"/>
              </w:rPr>
              <w:t>1</w:t>
            </w:r>
            <w:r>
              <w:rPr>
                <w:rFonts w:hint="eastAsia" w:ascii="仿宋_GB2312" w:hAnsi="宋体" w:eastAsia="仿宋_GB2312" w:cs="宋体"/>
                <w:color w:val="000000"/>
                <w:kern w:val="0"/>
                <w:sz w:val="24"/>
              </w:rPr>
              <w:t>分）</w:t>
            </w:r>
          </w:p>
          <w:p>
            <w:pP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资金支付率是否达到计划（2分）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2</w:t>
            </w:r>
          </w:p>
          <w:p>
            <w:pPr>
              <w:widowControl/>
              <w:jc w:val="center"/>
              <w:rPr>
                <w:rFonts w:hint="eastAsia" w:eastAsia="仿宋_GB2312"/>
                <w:color w:val="000000"/>
                <w:kern w:val="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11" w:hRule="atLeast"/>
        </w:trPr>
        <w:tc>
          <w:tcPr>
            <w:tcW w:w="1097"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产出</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（18分）</w:t>
            </w:r>
          </w:p>
          <w:p>
            <w:pPr>
              <w:jc w:val="center"/>
              <w:rPr>
                <w:rFonts w:ascii="仿宋_GB2312" w:hAnsi="宋体" w:eastAsia="仿宋_GB2312" w:cs="宋体"/>
                <w:color w:val="000000"/>
                <w:kern w:val="0"/>
                <w:sz w:val="24"/>
              </w:rPr>
            </w:pPr>
          </w:p>
        </w:tc>
        <w:tc>
          <w:tcPr>
            <w:tcW w:w="1134"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产出</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（18分）</w:t>
            </w:r>
          </w:p>
          <w:p>
            <w:pPr>
              <w:jc w:val="center"/>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实际</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完成率</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以项目设计、预算的主要实物工作量为基础，与实际完成的实物工作量进行比较。</w:t>
            </w:r>
          </w:p>
        </w:tc>
        <w:tc>
          <w:tcPr>
            <w:tcW w:w="708" w:type="dxa"/>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按项目形象进度，未完工项目参考已支付合同款相应的工程量进度</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50" w:hRule="atLeast"/>
        </w:trPr>
        <w:tc>
          <w:tcPr>
            <w:tcW w:w="1097" w:type="dxa"/>
            <w:vMerge w:val="continue"/>
            <w:shd w:val="clear" w:color="auto" w:fill="auto"/>
            <w:vAlign w:val="center"/>
          </w:tcPr>
          <w:p>
            <w:pPr>
              <w:jc w:val="center"/>
              <w:rPr>
                <w:rFonts w:ascii="仿宋_GB2312" w:hAnsi="宋体" w:eastAsia="仿宋_GB2312" w:cs="宋体"/>
                <w:color w:val="000000"/>
                <w:kern w:val="0"/>
                <w:sz w:val="24"/>
              </w:rPr>
            </w:pPr>
          </w:p>
        </w:tc>
        <w:tc>
          <w:tcPr>
            <w:tcW w:w="1134" w:type="dxa"/>
            <w:vMerge w:val="continue"/>
            <w:shd w:val="clear" w:color="auto" w:fill="auto"/>
            <w:vAlign w:val="center"/>
          </w:tcPr>
          <w:p>
            <w:pPr>
              <w:jc w:val="center"/>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完成</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及时率</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以项目资金安排文件下达的完成时限为标准，评价项目各项工作任务完成的及时性。</w:t>
            </w:r>
          </w:p>
        </w:tc>
        <w:tc>
          <w:tcPr>
            <w:tcW w:w="708" w:type="dxa"/>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4</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工作量完成进度与时间进度是否同步。每推迟1天扣0.1分，扣完为止。</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664" w:hRule="atLeast"/>
        </w:trPr>
        <w:tc>
          <w:tcPr>
            <w:tcW w:w="1097"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质量</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达标率</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根据项目验收结论，评价和考核维修质量是否符合相关标准、是否达到预期的维修建设成果和验收标准</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6</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①项目产出反映良好，无副作用和安全事故，验收合格；（3分）</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②新建的建筑和新添的设备等是否符合相关质量标准。（3分）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60"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成本</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节约率</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根据项目实际支出、评审结果与计划概算比较，评价和考核评价项目是否出现超支现象以及有无工作量报废引起的成本支出。</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4</w:t>
            </w:r>
          </w:p>
        </w:tc>
        <w:tc>
          <w:tcPr>
            <w:tcW w:w="6663" w:type="dxa"/>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①是否出现超支现象；（2分）</w:t>
            </w:r>
          </w:p>
          <w:p>
            <w:pPr>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②是否有工作量报废引起的成本支出情况。（2分）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23" w:hRule="atLeast"/>
        </w:trPr>
        <w:tc>
          <w:tcPr>
            <w:tcW w:w="1097"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效益</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（24分）</w:t>
            </w:r>
          </w:p>
        </w:tc>
        <w:tc>
          <w:tcPr>
            <w:tcW w:w="1134"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经济</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效益</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（6分）</w:t>
            </w: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节约</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维修成本</w:t>
            </w:r>
          </w:p>
        </w:tc>
        <w:tc>
          <w:tcPr>
            <w:tcW w:w="2554" w:type="dxa"/>
            <w:vMerge w:val="restart"/>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项目实施对经济发展所带来的直接或间接影响情况。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是否有效降低维修成本，节约资金，提高财政资金使用效率，推进党政机关厉行节约反对浪费，建设节约型机关工作；（3分）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4"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提高</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办公效率</w:t>
            </w:r>
          </w:p>
        </w:tc>
        <w:tc>
          <w:tcPr>
            <w:tcW w:w="255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6663" w:type="dxa"/>
            <w:shd w:val="clear" w:color="auto" w:fill="auto"/>
            <w:vAlign w:val="center"/>
          </w:tcPr>
          <w:p>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办公效率提高，行政成本降低。（3分）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6" w:hRule="atLeast"/>
        </w:trPr>
        <w:tc>
          <w:tcPr>
            <w:tcW w:w="1097"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效益</w:t>
            </w:r>
          </w:p>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（24分）</w:t>
            </w:r>
          </w:p>
        </w:tc>
        <w:tc>
          <w:tcPr>
            <w:tcW w:w="1134" w:type="dxa"/>
            <w:vMerge w:val="restart"/>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社会</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效益</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（6分）</w:t>
            </w: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改善</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办公环境</w:t>
            </w:r>
          </w:p>
        </w:tc>
        <w:tc>
          <w:tcPr>
            <w:tcW w:w="2554" w:type="dxa"/>
            <w:vMerge w:val="restart"/>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项目实施对社会发展所带来的直接或间接影响情况。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改善办公环境；（2分）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13" w:hRule="atLeast"/>
        </w:trPr>
        <w:tc>
          <w:tcPr>
            <w:tcW w:w="1097" w:type="dxa"/>
            <w:vMerge w:val="continue"/>
            <w:shd w:val="clear" w:color="auto" w:fill="auto"/>
            <w:vAlign w:val="center"/>
          </w:tcPr>
          <w:p>
            <w:pPr>
              <w:jc w:val="center"/>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恢复</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完善功能</w:t>
            </w:r>
          </w:p>
        </w:tc>
        <w:tc>
          <w:tcPr>
            <w:tcW w:w="255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w:t>
            </w:r>
          </w:p>
        </w:tc>
        <w:tc>
          <w:tcPr>
            <w:tcW w:w="6663" w:type="dxa"/>
            <w:shd w:val="clear" w:color="auto" w:fill="auto"/>
            <w:vAlign w:val="center"/>
          </w:tcPr>
          <w:p>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恢复和完善办公用房使用功能；（2分）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6" w:hRule="atLeast"/>
        </w:trPr>
        <w:tc>
          <w:tcPr>
            <w:tcW w:w="1097" w:type="dxa"/>
            <w:vMerge w:val="continue"/>
            <w:shd w:val="clear" w:color="auto" w:fill="auto"/>
            <w:vAlign w:val="center"/>
          </w:tcPr>
          <w:p>
            <w:pPr>
              <w:jc w:val="center"/>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消除</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安全隐患</w:t>
            </w:r>
          </w:p>
        </w:tc>
        <w:tc>
          <w:tcPr>
            <w:tcW w:w="255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6663" w:type="dxa"/>
            <w:shd w:val="clear" w:color="auto" w:fill="auto"/>
            <w:vAlign w:val="center"/>
          </w:tcPr>
          <w:p>
            <w:pPr>
              <w:widowControl/>
              <w:rPr>
                <w:rFonts w:hint="eastAsia" w:eastAsia="仿宋_GB2312"/>
                <w:color w:val="000000"/>
                <w:kern w:val="0"/>
                <w:sz w:val="24"/>
              </w:rPr>
            </w:pPr>
            <w:r>
              <w:rPr>
                <w:rFonts w:hint="eastAsia" w:eastAsia="仿宋_GB2312"/>
                <w:color w:val="000000"/>
                <w:kern w:val="0"/>
                <w:sz w:val="24"/>
              </w:rPr>
              <w:t>评价要点：</w:t>
            </w:r>
          </w:p>
          <w:p>
            <w:pPr>
              <w:widowControl/>
              <w:rPr>
                <w:rFonts w:eastAsia="仿宋_GB2312"/>
                <w:color w:val="000000"/>
                <w:kern w:val="0"/>
                <w:sz w:val="24"/>
              </w:rPr>
            </w:pPr>
            <w:r>
              <w:rPr>
                <w:rFonts w:hint="eastAsia" w:eastAsia="仿宋_GB2312"/>
                <w:color w:val="000000"/>
                <w:kern w:val="0"/>
                <w:sz w:val="24"/>
              </w:rPr>
              <w:t>消除安全隐患；（1分）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72" w:hRule="atLeast"/>
        </w:trPr>
        <w:tc>
          <w:tcPr>
            <w:tcW w:w="1097" w:type="dxa"/>
            <w:vMerge w:val="continue"/>
            <w:shd w:val="clear" w:color="auto" w:fill="auto"/>
            <w:vAlign w:val="center"/>
          </w:tcPr>
          <w:p>
            <w:pPr>
              <w:jc w:val="center"/>
              <w:rPr>
                <w:rFonts w:ascii="仿宋_GB2312" w:hAnsi="宋体" w:eastAsia="仿宋_GB2312" w:cs="宋体"/>
                <w:color w:val="000000"/>
                <w:kern w:val="0"/>
                <w:sz w:val="24"/>
              </w:rPr>
            </w:pPr>
          </w:p>
        </w:tc>
        <w:tc>
          <w:tcPr>
            <w:tcW w:w="113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提高</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政府形象</w:t>
            </w:r>
          </w:p>
        </w:tc>
        <w:tc>
          <w:tcPr>
            <w:tcW w:w="2554"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1</w:t>
            </w:r>
          </w:p>
        </w:tc>
        <w:tc>
          <w:tcPr>
            <w:tcW w:w="6663" w:type="dxa"/>
            <w:shd w:val="clear" w:color="auto" w:fill="auto"/>
            <w:vAlign w:val="center"/>
          </w:tcPr>
          <w:p>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提高政府机关形象。（1分）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6" w:hRule="atLeast"/>
        </w:trPr>
        <w:tc>
          <w:tcPr>
            <w:tcW w:w="1097" w:type="dxa"/>
            <w:vMerge w:val="continue"/>
            <w:shd w:val="clear" w:color="auto" w:fill="auto"/>
            <w:vAlign w:val="center"/>
          </w:tcPr>
          <w:p>
            <w:pPr>
              <w:jc w:val="center"/>
              <w:rPr>
                <w:rFonts w:ascii="仿宋_GB2312" w:hAnsi="宋体" w:eastAsia="仿宋_GB2312" w:cs="宋体"/>
                <w:color w:val="000000"/>
                <w:kern w:val="0"/>
                <w:sz w:val="24"/>
              </w:rPr>
            </w:pPr>
          </w:p>
        </w:tc>
        <w:tc>
          <w:tcPr>
            <w:tcW w:w="1134"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生态</w:t>
            </w:r>
          </w:p>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效益</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（3分）</w:t>
            </w:r>
          </w:p>
        </w:tc>
        <w:tc>
          <w:tcPr>
            <w:tcW w:w="1277"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节能环保</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项目实施对生态环境所带来的直接或间接影响情况。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rPr>
                <w:rFonts w:ascii="仿宋_GB2312" w:hAnsi="宋体" w:eastAsia="仿宋_GB2312" w:cs="宋体"/>
                <w:color w:val="000000"/>
                <w:kern w:val="0"/>
                <w:sz w:val="24"/>
              </w:rPr>
            </w:pPr>
            <w:r>
              <w:rPr>
                <w:rFonts w:hint="eastAsia" w:ascii="仿宋_GB2312" w:hAnsi="宋体" w:eastAsia="仿宋_GB2312" w:cs="宋体"/>
                <w:color w:val="000000"/>
                <w:kern w:val="0"/>
                <w:sz w:val="24"/>
              </w:rPr>
              <w:t>节能、环保效果良好，降低能源损耗。（3分）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83" w:hRule="atLeast"/>
        </w:trPr>
        <w:tc>
          <w:tcPr>
            <w:tcW w:w="1097"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1134"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可持续影响</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（3分）</w:t>
            </w: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提高</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使用年限</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项目后续运行及成效发挥的可持续影响情况。</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3</w:t>
            </w:r>
          </w:p>
        </w:tc>
        <w:tc>
          <w:tcPr>
            <w:tcW w:w="6663" w:type="dxa"/>
            <w:shd w:val="clear" w:color="auto" w:fill="auto"/>
            <w:vAlign w:val="center"/>
          </w:tcPr>
          <w:p>
            <w:pPr>
              <w:widowControl/>
              <w:rPr>
                <w:rFonts w:eastAsia="仿宋_GB2312"/>
                <w:color w:val="000000"/>
                <w:kern w:val="0"/>
                <w:sz w:val="24"/>
              </w:rPr>
            </w:pPr>
            <w:r>
              <w:rPr>
                <w:rFonts w:hint="eastAsia" w:eastAsia="仿宋_GB2312"/>
                <w:color w:val="000000"/>
                <w:kern w:val="0"/>
                <w:sz w:val="24"/>
              </w:rPr>
              <w:t>评价要点：</w:t>
            </w:r>
          </w:p>
          <w:p>
            <w:pPr>
              <w:rPr>
                <w:rFonts w:eastAsia="仿宋_GB2312"/>
                <w:color w:val="000000"/>
                <w:kern w:val="0"/>
                <w:sz w:val="24"/>
              </w:rPr>
            </w:pPr>
            <w:r>
              <w:rPr>
                <w:rFonts w:hint="eastAsia" w:eastAsia="仿宋_GB2312"/>
                <w:color w:val="000000"/>
                <w:kern w:val="0"/>
                <w:sz w:val="24"/>
              </w:rPr>
              <w:t>提高了办公用房的使用年限；维修后办公用房短期内无需再维修和添加新设备。（3分）</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60" w:hRule="atLeast"/>
        </w:trPr>
        <w:tc>
          <w:tcPr>
            <w:tcW w:w="1097" w:type="dxa"/>
            <w:vMerge w:val="continue"/>
            <w:shd w:val="clear" w:color="auto" w:fill="auto"/>
            <w:vAlign w:val="center"/>
          </w:tcPr>
          <w:p>
            <w:pPr>
              <w:widowControl/>
              <w:jc w:val="left"/>
              <w:rPr>
                <w:rFonts w:ascii="仿宋_GB2312" w:hAnsi="宋体" w:eastAsia="仿宋_GB2312" w:cs="宋体"/>
                <w:color w:val="000000"/>
                <w:kern w:val="0"/>
                <w:sz w:val="24"/>
              </w:rPr>
            </w:pPr>
          </w:p>
        </w:tc>
        <w:tc>
          <w:tcPr>
            <w:tcW w:w="1134"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社会公众或服务对象满意度（6分）</w:t>
            </w:r>
          </w:p>
        </w:tc>
        <w:tc>
          <w:tcPr>
            <w:tcW w:w="1277" w:type="dxa"/>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使用单位</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满意度</w:t>
            </w:r>
          </w:p>
        </w:tc>
        <w:tc>
          <w:tcPr>
            <w:tcW w:w="2554"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各省直单位工作人员及服务对象对项目实施效果的满意程度。</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6</w:t>
            </w:r>
          </w:p>
        </w:tc>
        <w:tc>
          <w:tcPr>
            <w:tcW w:w="6663" w:type="dxa"/>
            <w:shd w:val="clear" w:color="auto" w:fill="auto"/>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评价要点：</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各省直单位工作人员及服务对象满意度调查问卷结果（6分）</w:t>
            </w:r>
          </w:p>
        </w:tc>
        <w:tc>
          <w:tcPr>
            <w:tcW w:w="785" w:type="dxa"/>
            <w:shd w:val="clear" w:color="auto" w:fill="auto"/>
            <w:vAlign w:val="center"/>
          </w:tcPr>
          <w:p>
            <w:pPr>
              <w:widowControl/>
              <w:jc w:val="both"/>
              <w:rPr>
                <w:rFonts w:hint="eastAsia" w:eastAsia="仿宋_GB2312"/>
                <w:color w:val="000000"/>
                <w:kern w:val="0"/>
                <w:sz w:val="24"/>
                <w:lang w:val="en-US" w:eastAsia="zh-CN"/>
              </w:rPr>
            </w:pPr>
            <w:r>
              <w:rPr>
                <w:rFonts w:hint="eastAsia" w:eastAsia="仿宋_GB2312"/>
                <w:color w:val="000000"/>
                <w:kern w:val="0"/>
                <w:sz w:val="24"/>
                <w:lang w:val="en-US" w:eastAsia="zh-CN"/>
              </w:rPr>
              <w:t xml:space="preserve"> </w:t>
            </w:r>
            <w:r>
              <w:rPr>
                <w:rFonts w:hint="eastAsia" w:eastAsia="仿宋_GB2312"/>
                <w:color w:val="000000"/>
                <w:kern w:val="0"/>
                <w:sz w:val="24"/>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58" w:hRule="atLeast"/>
        </w:trPr>
        <w:tc>
          <w:tcPr>
            <w:tcW w:w="6062" w:type="dxa"/>
            <w:gridSpan w:val="4"/>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总分合计</w:t>
            </w:r>
          </w:p>
        </w:tc>
        <w:tc>
          <w:tcPr>
            <w:tcW w:w="70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100</w:t>
            </w:r>
          </w:p>
        </w:tc>
        <w:tc>
          <w:tcPr>
            <w:tcW w:w="6663"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评分合计</w:t>
            </w:r>
          </w:p>
        </w:tc>
        <w:tc>
          <w:tcPr>
            <w:tcW w:w="785" w:type="dxa"/>
            <w:shd w:val="clear" w:color="auto" w:fill="auto"/>
            <w:vAlign w:val="center"/>
          </w:tcPr>
          <w:p>
            <w:pPr>
              <w:widowControl/>
              <w:jc w:val="center"/>
              <w:rPr>
                <w:rFonts w:hint="eastAsia" w:eastAsia="仿宋_GB2312"/>
                <w:color w:val="000000"/>
                <w:kern w:val="0"/>
                <w:sz w:val="24"/>
                <w:lang w:val="en-US" w:eastAsia="zh-CN"/>
              </w:rPr>
            </w:pPr>
            <w:r>
              <w:rPr>
                <w:rFonts w:hint="eastAsia" w:eastAsia="仿宋_GB2312"/>
                <w:color w:val="000000"/>
                <w:kern w:val="0"/>
                <w:sz w:val="24"/>
                <w:lang w:val="en-US" w:eastAsia="zh-CN"/>
              </w:rPr>
              <w:t>94</w:t>
            </w:r>
          </w:p>
        </w:tc>
      </w:tr>
    </w:tbl>
    <w:p/>
    <w:sectPr>
      <w:headerReference r:id="rId3" w:type="default"/>
      <w:footerReference r:id="rId4" w:type="default"/>
      <w:pgSz w:w="16838" w:h="11906" w:orient="landscape"/>
      <w:pgMar w:top="1021" w:right="1418" w:bottom="1021" w:left="1418" w:header="851" w:footer="567"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F3204"/>
    <w:rsid w:val="02891590"/>
    <w:rsid w:val="07D05CE3"/>
    <w:rsid w:val="0A0E3B1D"/>
    <w:rsid w:val="113B31B3"/>
    <w:rsid w:val="14D715CE"/>
    <w:rsid w:val="2A6E6FF1"/>
    <w:rsid w:val="2DDE525D"/>
    <w:rsid w:val="39067E3E"/>
    <w:rsid w:val="3AF93873"/>
    <w:rsid w:val="3FDF59E9"/>
    <w:rsid w:val="4EC40E1D"/>
    <w:rsid w:val="50C0674A"/>
    <w:rsid w:val="571A0C3B"/>
    <w:rsid w:val="5BD13EBB"/>
    <w:rsid w:val="5E50215A"/>
    <w:rsid w:val="64425A3C"/>
    <w:rsid w:val="6EDF3204"/>
    <w:rsid w:val="702D0D07"/>
    <w:rsid w:val="777077D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2018-03-09T02:10:00Z</dcterms:created>
  <dc:creator>杨京红</dc:creator>
  <cp:lastModifiedBy>局文印室</cp:lastModifiedBy>
  <cp:lastPrinted>2020-06-18T01:14:50Z</cp:lastPrinted>
  <dcterms:modified xsi:type="dcterms:W3CDTF">2020-06-18T01:15:07Z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